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30" w:rsidRPr="00FD07D2" w:rsidRDefault="00897B48" w:rsidP="00F40C2A">
      <w:pPr>
        <w:spacing w:after="0" w:line="240" w:lineRule="auto"/>
        <w:jc w:val="right"/>
        <w:rPr>
          <w:rFonts w:cs="Times New Roman"/>
          <w:color w:val="215868" w:themeColor="accent5" w:themeShade="80"/>
          <w:sz w:val="24"/>
          <w:szCs w:val="24"/>
          <w:u w:val="single"/>
        </w:rPr>
      </w:pPr>
      <w:r>
        <w:rPr>
          <w:rFonts w:cs="Times New Roman"/>
          <w:color w:val="215868" w:themeColor="accent5" w:themeShade="80"/>
          <w:sz w:val="24"/>
          <w:szCs w:val="24"/>
          <w:u w:val="single"/>
        </w:rPr>
        <w:t>Anexa 2</w:t>
      </w:r>
    </w:p>
    <w:p w:rsidR="00AA1824" w:rsidRPr="00FD07D2" w:rsidRDefault="004371A5" w:rsidP="00FC5554">
      <w:pPr>
        <w:spacing w:after="0" w:line="240" w:lineRule="auto"/>
        <w:jc w:val="both"/>
        <w:rPr>
          <w:rFonts w:cs="Times New Roman"/>
          <w:b/>
          <w:color w:val="215868" w:themeColor="accent5" w:themeShade="80"/>
          <w:sz w:val="24"/>
          <w:szCs w:val="24"/>
          <w:u w:val="single"/>
        </w:rPr>
      </w:pPr>
      <w:r w:rsidRPr="00FD07D2">
        <w:rPr>
          <w:rFonts w:cs="Times New Roman"/>
          <w:b/>
          <w:color w:val="215868" w:themeColor="accent5" w:themeShade="80"/>
          <w:sz w:val="24"/>
          <w:szCs w:val="24"/>
          <w:u w:val="single"/>
        </w:rPr>
        <w:t>Definițiile indicatorilor de rezultat și realizare</w:t>
      </w:r>
    </w:p>
    <w:p w:rsidR="00536A30" w:rsidRPr="00FD07D2" w:rsidRDefault="00536A30" w:rsidP="00FC5554">
      <w:pPr>
        <w:spacing w:after="0" w:line="240" w:lineRule="auto"/>
        <w:jc w:val="both"/>
        <w:rPr>
          <w:rFonts w:cs="Times New Roman"/>
          <w:color w:val="215868" w:themeColor="accent5" w:themeShade="8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16"/>
        <w:gridCol w:w="1108"/>
        <w:gridCol w:w="5167"/>
        <w:gridCol w:w="6903"/>
      </w:tblGrid>
      <w:tr w:rsidR="00FC5554" w:rsidRPr="00FD07D2" w:rsidTr="00412B20">
        <w:tc>
          <w:tcPr>
            <w:tcW w:w="797" w:type="dxa"/>
            <w:shd w:val="clear" w:color="auto" w:fill="auto"/>
          </w:tcPr>
          <w:p w:rsidR="00046A51" w:rsidRPr="00FD07D2" w:rsidRDefault="00046A51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Cod</w:t>
            </w:r>
          </w:p>
        </w:tc>
        <w:tc>
          <w:tcPr>
            <w:tcW w:w="1108" w:type="dxa"/>
            <w:shd w:val="clear" w:color="auto" w:fill="auto"/>
          </w:tcPr>
          <w:p w:rsidR="00046A51" w:rsidRPr="00FD07D2" w:rsidRDefault="00046A51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Tip</w:t>
            </w:r>
          </w:p>
        </w:tc>
        <w:tc>
          <w:tcPr>
            <w:tcW w:w="5178" w:type="dxa"/>
            <w:shd w:val="clear" w:color="auto" w:fill="auto"/>
          </w:tcPr>
          <w:p w:rsidR="00046A51" w:rsidRPr="00FD07D2" w:rsidRDefault="00046A51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Denumite indicator</w:t>
            </w:r>
          </w:p>
          <w:p w:rsidR="002532C9" w:rsidRPr="00FD07D2" w:rsidRDefault="002532C9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auto"/>
          </w:tcPr>
          <w:p w:rsidR="00046A51" w:rsidRPr="00FD07D2" w:rsidRDefault="00046A51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Definiția indicatorului</w:t>
            </w:r>
          </w:p>
        </w:tc>
      </w:tr>
      <w:tr w:rsidR="007712AD" w:rsidRPr="00FD07D2" w:rsidTr="00412B20">
        <w:tc>
          <w:tcPr>
            <w:tcW w:w="797" w:type="dxa"/>
            <w:shd w:val="clear" w:color="auto" w:fill="auto"/>
          </w:tcPr>
          <w:p w:rsidR="007712AD" w:rsidRPr="00FD07D2" w:rsidRDefault="00714F9B" w:rsidP="00F519E1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4S1</w:t>
            </w:r>
            <w:r w:rsidR="00F519E1"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10</w:t>
            </w:r>
          </w:p>
        </w:tc>
        <w:tc>
          <w:tcPr>
            <w:tcW w:w="1108" w:type="dxa"/>
            <w:shd w:val="clear" w:color="auto" w:fill="auto"/>
          </w:tcPr>
          <w:p w:rsidR="00714F9B" w:rsidRPr="00FD07D2" w:rsidRDefault="00714F9B" w:rsidP="00FC5554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Rezultat</w:t>
            </w:r>
          </w:p>
          <w:p w:rsidR="007712AD" w:rsidRPr="00FD07D2" w:rsidRDefault="007712AD" w:rsidP="00FC5554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</w:p>
        </w:tc>
        <w:tc>
          <w:tcPr>
            <w:tcW w:w="5178" w:type="dxa"/>
            <w:shd w:val="clear" w:color="auto" w:fill="auto"/>
          </w:tcPr>
          <w:p w:rsidR="00F519E1" w:rsidRPr="00FD07D2" w:rsidRDefault="00CB34A8" w:rsidP="00F519E1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4S1</w:t>
            </w:r>
            <w:r w:rsidR="00F519E1"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1</w:t>
            </w: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0</w:t>
            </w: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 </w:t>
            </w:r>
            <w:r w:rsidR="00F519E1"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Persoane certificate urmare a sprijinului acordat </w:t>
            </w:r>
          </w:p>
          <w:p w:rsidR="00E73BA6" w:rsidRPr="00FD07D2" w:rsidRDefault="00E73BA6" w:rsidP="00F519E1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</w:p>
          <w:p w:rsidR="00F519E1" w:rsidRPr="00FD07D2" w:rsidRDefault="00F519E1" w:rsidP="00F519E1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4S110.1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Persoane certificate urmare a sprijinului acordat, din care: persoane cu nivel scăzut de calificare</w:t>
            </w:r>
          </w:p>
          <w:p w:rsidR="00F519E1" w:rsidRPr="00FD07D2" w:rsidRDefault="00F519E1" w:rsidP="00F519E1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4S110.2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Persoane certificate urmare a sprijinului acordat, din care: persoane din mediul rural</w:t>
            </w:r>
          </w:p>
          <w:p w:rsidR="007712AD" w:rsidRPr="00FD07D2" w:rsidRDefault="00F519E1" w:rsidP="00F519E1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4S110.3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Persoane certificate urmare a sprijinului acordat, din care: persoane cu vârsta peste 40 de ani.</w:t>
            </w:r>
            <w:r w:rsidR="00CB34A8"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</w:p>
        </w:tc>
        <w:tc>
          <w:tcPr>
            <w:tcW w:w="6911" w:type="dxa"/>
            <w:shd w:val="clear" w:color="auto" w:fill="auto"/>
          </w:tcPr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Acest indicator reprezintă numărul de persoane certificate urmare a sprijinului acordat direct în cadrul Obiectivului Specific 6.12 şi care, la data intrării în operațiunile FSE au îndeplinit cumulativ următoarele criterii: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- au fost rezidenți ai uneia din regiunile de dezvoltare eligibile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au fost angajați, inclusiv persoană fizică autorizată şi întreprinderi individuale </w:t>
            </w:r>
          </w:p>
          <w:p w:rsidR="00495877" w:rsidRPr="00FD07D2" w:rsidRDefault="003A3832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>
              <w:rPr>
                <w:color w:val="215868" w:themeColor="accent5" w:themeShade="80"/>
                <w:sz w:val="24"/>
                <w:szCs w:val="24"/>
              </w:rPr>
              <w:t>- au împlinit 25</w:t>
            </w:r>
            <w:r w:rsidR="00495877" w:rsidRPr="00FD07D2">
              <w:rPr>
                <w:color w:val="215868" w:themeColor="accent5" w:themeShade="80"/>
                <w:sz w:val="24"/>
                <w:szCs w:val="24"/>
              </w:rPr>
              <w:t xml:space="preserve"> ani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au sub 65 de ani </w:t>
            </w:r>
          </w:p>
          <w:p w:rsidR="000B2ABF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(Vârsta participantului este calculată de la data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naşterii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este determinată la data intrării în operațiunile FSE)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”Persoanele angajate” sunt persoanele care au împlinit cel puțin 16 ani, care au prestat muncă pentru salariu, profit sau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câştig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familial sau care nu au prestat muncă dar au avut un loc de muncă sau o afacere din care au lipsit temporar din cauza, de exemplu, unei boli, concediului, disputelor industriale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formării.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O persoană se consideră că are un loc de muncă dacă aceasta a prestat muncă pentru salariu sau profit în săptămâna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referinţă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Adaptat după Orientările Comisiei Europene pentru Monitorizarea și Evaluarea Fondului Social European, Anexa C1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„Persoană fizică autorizată” reprezintă persoana fizică autorizată să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desfăşoare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orice formă de activitate economică permisă de lege, folosind în principal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forţa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sa de muncă.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lastRenderedPageBreak/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„Întreprinderi individuale” este o întreprinderea economică, fără personalitate juridică, organizată de un întreprinzător persoană fizică.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„Certificarea” reprezintă procesul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recunoaştere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înregistrare oficială a realizării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persoanelor care au studiat prin furnizarea unei dovezi documentare.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Glosar de termeni tehnici folosiți în învățământul tehnic și profesional din România - http://www.tvet.ro/Anexe/x/Glossary%20Eng-Rom.pdf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„Data intrării în operațiunile FSE” reprezintă „data la care persoana a beneficiat prima dată de sprijinul oferit prin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operaţiune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Anexa D – Orientare practică privind colectarea şi validarea datelor din orientările Comisiei Europene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constituită de contribuțiile financiare dintr-un program la instrumentele financiare și la sprijinul financiar ulterior oferit de respectivele instrumente financiare.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Regulament (UE) Nr. 1303/2013 al Parlamentului European și al Consiliului din 17 decembrie 2013 de stabilire a unor dispoziții comune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b/>
                <w:color w:val="7030A0"/>
                <w:sz w:val="24"/>
                <w:szCs w:val="24"/>
              </w:rPr>
            </w:pPr>
            <w:r w:rsidRPr="00FD07D2">
              <w:rPr>
                <w:b/>
                <w:color w:val="7030A0"/>
                <w:sz w:val="24"/>
                <w:szCs w:val="24"/>
              </w:rPr>
              <w:t>DATELE VOR FI COLECTATE, MONITORIZATE ŞI RAPORTATE PENTRU URMĂTOARELE CATEGORII: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numPr>
                <w:ilvl w:val="0"/>
                <w:numId w:val="11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cu nivel scăzut de calificare: persoane cu un nivel de calificare până la nivelul 3 (Sursa: Agreată cu părțile interesate). Calificarea este rezultatul formal al unui proces de evaluare şi validare, care este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atunci când un organism competent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că o persoană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ca urmare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rezultate la anumite standarde prestabilite, conform Legii educației naționale 1/2011, cu modificările și completările ulterioare. Nivelurile de calificare sunt conform Hotărârii nr. 918/2013 privind aprobarea Cadrului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al calificărilor. </w:t>
            </w:r>
          </w:p>
          <w:p w:rsidR="00495877" w:rsidRPr="00FD07D2" w:rsidRDefault="00495877" w:rsidP="00495877">
            <w:pPr>
              <w:pStyle w:val="Listparagraf"/>
              <w:numPr>
                <w:ilvl w:val="0"/>
                <w:numId w:val="11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din zonele rurale: care locuiesc în zonele rurale (sat / comună) conform Legii 351/2001 privind aprobarea Planului de amenajare a teritoriului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-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Secţiunea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IV,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Reţeaua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localităţi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, Anexa I.</w:t>
            </w:r>
          </w:p>
          <w:p w:rsidR="00495877" w:rsidRPr="00FD07D2" w:rsidRDefault="00495877" w:rsidP="00495877">
            <w:pPr>
              <w:pStyle w:val="Listparagraf"/>
              <w:numPr>
                <w:ilvl w:val="0"/>
                <w:numId w:val="11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Persoane cu vârsta peste 40 de ani şi sub 65 de ani.</w:t>
            </w:r>
          </w:p>
        </w:tc>
      </w:tr>
      <w:tr w:rsidR="00714F9B" w:rsidRPr="00FD07D2" w:rsidTr="00412B20">
        <w:tc>
          <w:tcPr>
            <w:tcW w:w="797" w:type="dxa"/>
            <w:shd w:val="clear" w:color="auto" w:fill="auto"/>
          </w:tcPr>
          <w:p w:rsidR="00714F9B" w:rsidRPr="00FD07D2" w:rsidRDefault="00F519E1" w:rsidP="00714F9B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lastRenderedPageBreak/>
              <w:t>4S111</w:t>
            </w:r>
          </w:p>
        </w:tc>
        <w:tc>
          <w:tcPr>
            <w:tcW w:w="1108" w:type="dxa"/>
            <w:shd w:val="clear" w:color="auto" w:fill="auto"/>
          </w:tcPr>
          <w:p w:rsidR="00714F9B" w:rsidRPr="00FD07D2" w:rsidRDefault="00714F9B" w:rsidP="00714F9B">
            <w:pPr>
              <w:rPr>
                <w:sz w:val="24"/>
                <w:szCs w:val="24"/>
              </w:rPr>
            </w:pP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:rsidR="00714F9B" w:rsidRPr="00FD07D2" w:rsidRDefault="00CB34A8" w:rsidP="00714F9B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4S1</w:t>
            </w:r>
            <w:r w:rsidR="00F519E1"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11</w:t>
            </w: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 </w:t>
            </w:r>
            <w:r w:rsidR="00714F9B"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Persoane care își găsesc un loc de muncă urmare a sprijinului primit</w:t>
            </w:r>
          </w:p>
          <w:p w:rsidR="00E73BA6" w:rsidRPr="00FD07D2" w:rsidRDefault="00E73BA6" w:rsidP="00714F9B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lastRenderedPageBreak/>
              <w:t xml:space="preserve">4S111.1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Persoane care își găsesc un loc de muncă urmare a sprijinului primit, din care: persoane cu nivel scăzut de calificare</w:t>
            </w:r>
          </w:p>
          <w:p w:rsidR="00E73BA6" w:rsidRPr="00FD07D2" w:rsidRDefault="00E73BA6" w:rsidP="00E73BA6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4S111.2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care își găsesc un loc de muncă urmare a sprijinului primit, din care: persoane din mediul rural</w:t>
            </w:r>
          </w:p>
          <w:p w:rsidR="00714F9B" w:rsidRPr="00FD07D2" w:rsidRDefault="00E73BA6" w:rsidP="00E73BA6">
            <w:pPr>
              <w:pStyle w:val="Listparagraf"/>
              <w:numPr>
                <w:ilvl w:val="0"/>
                <w:numId w:val="9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4S111.3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care își găsesc un loc de muncă urmare a sprijinului primit, din care: persoane cu vârsta peste 40 de ani</w:t>
            </w:r>
          </w:p>
        </w:tc>
        <w:tc>
          <w:tcPr>
            <w:tcW w:w="6911" w:type="dxa"/>
            <w:shd w:val="clear" w:color="auto" w:fill="auto"/>
          </w:tcPr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Acest indicator reprezintă numărul de persoane care își găsesc un loc de muncă la 6 luni după părăsirea intervenției dar nu mai târziu decât data la care s-a încheiat operațiunea ca urmare a sprijinului primit direct în cadrul Obiectivului Specific 6.12 şi care, la data intrării în operațiunile FSE au îndeplinit următoare criterii: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- erau rezidenți ai uneia din regiunile de dezvoltare eligibile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erau angajați, inclusiv persoane fizice autorizate şi întreprinderi individuale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- împliniseră 2</w:t>
            </w:r>
            <w:r w:rsidR="00CD07CC">
              <w:rPr>
                <w:color w:val="215868" w:themeColor="accent5" w:themeShade="80"/>
                <w:sz w:val="24"/>
                <w:szCs w:val="24"/>
              </w:rPr>
              <w:t>5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ani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aveau sub 65 de ani </w:t>
            </w:r>
          </w:p>
          <w:p w:rsidR="000B2ABF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(Vârsta participantului este calculată de la data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naşterii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este determinată la data intrării în operațiunile FSE)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”Persoanele angajate” sunt persoanele care au împlinit cel puțin 16 ani, care au prestat muncă pentru salariu, profit sau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câştig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familial sau care nu au prestat muncă dar au avut un loc de muncă sau o afacere din care au lipsit temporar din cauza, de exemplu, unei boli, concediului, disputelor industriale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formării.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O persoană se consideră că are un loc de muncă dacă aceasta a prestat muncă pentru salariu sau profit în săptămâna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referinţă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Adaptat după Orientările Comisiei Europene pentru Monitorizarea și Evaluarea Fondului Social European, Anexa C1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„Persoană fizică autorizată” reprezintă persoana fizică autorizată să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desfăşoare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orice formă de activitate economică permisă de lege, folosind în principal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forţa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sa de muncă.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„Întreprinderi individuale” este o întreprinderea economică, fără personalitate juridică, organizată de un întreprinzător persoană fizică.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lastRenderedPageBreak/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“Locul de muncă” reprezintă cadrul în care se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desfăşoară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o activitate din care se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un venit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în care se materializează raporturile juridice de muncă sau raporturile juridice de serviciu.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Legea nr. 76/2002 privind sistemul asigurărilor pentru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şomaj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stimularea ocupării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forţei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muncă, cu modificările și completările ulterioare.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„Data intrării în operațiunile FSE” reprezintă „data la care persoana a beneficiat prima dată de sprijinul oferit prin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operaţiune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”. 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Anexa D – Orientare practică privind colectarea şi validarea datelor din orientările Comisiei Europene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”Data la care s-a încheiat operațiunea” reprezintă data conform contractului de finanțare.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lastRenderedPageBreak/>
              <w:t>Sursa: Regulament (UE) Nr. 1303/2013 al Parlamentului European și al Consiliului din 17 decembrie 2013 de stabilire a unor dispoziții comune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b/>
                <w:color w:val="7030A0"/>
                <w:sz w:val="24"/>
                <w:szCs w:val="24"/>
              </w:rPr>
            </w:pPr>
            <w:r w:rsidRPr="00FD07D2">
              <w:rPr>
                <w:b/>
                <w:color w:val="7030A0"/>
                <w:sz w:val="24"/>
                <w:szCs w:val="24"/>
              </w:rPr>
              <w:t>DATELE VOR FI COLECTATE, MONITORIZATE ŞI RAPORTATE PENTRU URMĂTOARELE CATEGORII:</w:t>
            </w:r>
          </w:p>
          <w:p w:rsidR="00495877" w:rsidRPr="00FD07D2" w:rsidRDefault="00495877" w:rsidP="00495877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495877" w:rsidP="00FA5D99">
            <w:pPr>
              <w:pStyle w:val="Listparagraf"/>
              <w:numPr>
                <w:ilvl w:val="0"/>
                <w:numId w:val="13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cu nivel scăzut de calificare: persoane cu un nivel de calificare până la nivelul 3 (Sursa: Agreată cu părțile interesate). Calificarea este rezultatul formal al unui proces de evaluare şi validare, care este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atunci când un organism competent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că o persoană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ca urmare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, rezultate la anumite standarde prestabilite, conform Legii educației naționale 1/2011, cu modificările și completările ulterioare. Nivelurile de calificare sunt conform Hotărârii nr. 918/2013 privind aprobarea Cadru</w:t>
            </w:r>
            <w:r w:rsidR="00FA5D99" w:rsidRPr="00FD07D2">
              <w:rPr>
                <w:color w:val="215868" w:themeColor="accent5" w:themeShade="80"/>
                <w:sz w:val="24"/>
                <w:szCs w:val="24"/>
              </w:rPr>
              <w:t xml:space="preserve">lui </w:t>
            </w:r>
            <w:proofErr w:type="spellStart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 xml:space="preserve"> al calificărilor. </w:t>
            </w:r>
          </w:p>
          <w:p w:rsidR="00495877" w:rsidRPr="00FD07D2" w:rsidRDefault="00495877" w:rsidP="00FA5D99">
            <w:pPr>
              <w:pStyle w:val="Listparagraf"/>
              <w:numPr>
                <w:ilvl w:val="0"/>
                <w:numId w:val="13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din zonele rurale: care locuiesc în zonele rurale (sat / comună) conform Legii 351/2001 privind aprobarea Planului de amenajare a teritoriului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-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Secţiunea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IV, </w:t>
            </w:r>
            <w:proofErr w:type="spellStart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>Reţeaua</w:t>
            </w:r>
            <w:proofErr w:type="spellEnd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>localităţi</w:t>
            </w:r>
            <w:proofErr w:type="spellEnd"/>
            <w:r w:rsidR="00FA5D99" w:rsidRPr="00FD07D2">
              <w:rPr>
                <w:color w:val="215868" w:themeColor="accent5" w:themeShade="80"/>
                <w:sz w:val="24"/>
                <w:szCs w:val="24"/>
              </w:rPr>
              <w:t>, Anexa I.</w:t>
            </w:r>
          </w:p>
          <w:p w:rsidR="00495877" w:rsidRPr="00FD07D2" w:rsidRDefault="00495877" w:rsidP="00FA5D99">
            <w:pPr>
              <w:pStyle w:val="Listparagraf"/>
              <w:numPr>
                <w:ilvl w:val="0"/>
                <w:numId w:val="13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Persoane cu vârsta peste 40 de ani şi sub 65 de ani</w:t>
            </w:r>
          </w:p>
        </w:tc>
      </w:tr>
      <w:tr w:rsidR="00714F9B" w:rsidRPr="00FD07D2" w:rsidTr="00412B20">
        <w:tc>
          <w:tcPr>
            <w:tcW w:w="797" w:type="dxa"/>
            <w:shd w:val="clear" w:color="auto" w:fill="auto"/>
          </w:tcPr>
          <w:p w:rsidR="00714F9B" w:rsidRPr="00FD07D2" w:rsidRDefault="00F519E1" w:rsidP="00714F9B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lastRenderedPageBreak/>
              <w:t>4S112</w:t>
            </w:r>
          </w:p>
        </w:tc>
        <w:tc>
          <w:tcPr>
            <w:tcW w:w="1108" w:type="dxa"/>
            <w:shd w:val="clear" w:color="auto" w:fill="auto"/>
          </w:tcPr>
          <w:p w:rsidR="00714F9B" w:rsidRPr="00FD07D2" w:rsidRDefault="00714F9B" w:rsidP="00714F9B">
            <w:pPr>
              <w:rPr>
                <w:sz w:val="24"/>
                <w:szCs w:val="24"/>
              </w:rPr>
            </w:pP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Rezultat</w:t>
            </w:r>
          </w:p>
        </w:tc>
        <w:tc>
          <w:tcPr>
            <w:tcW w:w="5178" w:type="dxa"/>
            <w:shd w:val="clear" w:color="auto" w:fill="auto"/>
          </w:tcPr>
          <w:p w:rsidR="00714F9B" w:rsidRPr="00FD07D2" w:rsidRDefault="00E73BA6" w:rsidP="00714F9B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>4S112</w:t>
            </w:r>
            <w:r w:rsidR="00CB34A8"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 </w:t>
            </w: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Persoane care urmează studii/cursuri de formare la încetarea calității de participant </w:t>
            </w:r>
          </w:p>
          <w:p w:rsidR="00B2320F" w:rsidRPr="00FD07D2" w:rsidRDefault="00B2320F" w:rsidP="00714F9B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CB34A8" w:rsidP="00E73BA6">
            <w:pPr>
              <w:pStyle w:val="Listparagraf"/>
              <w:numPr>
                <w:ilvl w:val="0"/>
                <w:numId w:val="6"/>
              </w:numPr>
              <w:ind w:left="5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>4S1</w:t>
            </w:r>
            <w:r w:rsidR="00E73BA6" w:rsidRPr="00FD07D2">
              <w:rPr>
                <w:b/>
                <w:color w:val="215868" w:themeColor="accent5" w:themeShade="80"/>
                <w:sz w:val="24"/>
                <w:szCs w:val="24"/>
              </w:rPr>
              <w:t>12</w:t>
            </w: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>.1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r w:rsidR="00E73BA6" w:rsidRPr="00FD07D2">
              <w:rPr>
                <w:color w:val="215868" w:themeColor="accent5" w:themeShade="80"/>
                <w:sz w:val="24"/>
                <w:szCs w:val="24"/>
              </w:rPr>
              <w:t>Persoane care urmează studii/cursuri de formare la încetarea calității de participant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din care: </w:t>
            </w:r>
            <w:r w:rsidR="00714F9B"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r w:rsidR="00E73BA6" w:rsidRPr="00FD07D2">
              <w:rPr>
                <w:color w:val="215868" w:themeColor="accent5" w:themeShade="80"/>
                <w:sz w:val="24"/>
                <w:szCs w:val="24"/>
              </w:rPr>
              <w:t>persoane cu nivel scăzut de calificare</w:t>
            </w:r>
          </w:p>
          <w:p w:rsidR="00E73BA6" w:rsidRPr="00FD07D2" w:rsidRDefault="00CB34A8" w:rsidP="00E73BA6">
            <w:pPr>
              <w:pStyle w:val="Listparagraf"/>
              <w:numPr>
                <w:ilvl w:val="0"/>
                <w:numId w:val="6"/>
              </w:numPr>
              <w:ind w:left="5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lastRenderedPageBreak/>
              <w:t>4S1</w:t>
            </w:r>
            <w:r w:rsidR="00E73BA6" w:rsidRPr="00FD07D2">
              <w:rPr>
                <w:b/>
                <w:color w:val="215868" w:themeColor="accent5" w:themeShade="80"/>
                <w:sz w:val="24"/>
                <w:szCs w:val="24"/>
              </w:rPr>
              <w:t>12</w:t>
            </w: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>.2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r w:rsidR="00E73BA6" w:rsidRPr="00FD07D2">
              <w:rPr>
                <w:color w:val="215868" w:themeColor="accent5" w:themeShade="80"/>
                <w:sz w:val="24"/>
                <w:szCs w:val="24"/>
              </w:rPr>
              <w:t>Persoane care urmează studii/cursuri de formare la încetarea calității de participant, din care: persoane din mediul rural</w:t>
            </w:r>
          </w:p>
          <w:p w:rsidR="00714F9B" w:rsidRPr="00FD07D2" w:rsidRDefault="00E73BA6" w:rsidP="00E73BA6">
            <w:pPr>
              <w:pStyle w:val="Listparagraf"/>
              <w:numPr>
                <w:ilvl w:val="0"/>
                <w:numId w:val="6"/>
              </w:numPr>
              <w:ind w:left="5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>4S112.3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Persoane care urmează studii/cursuri de formare la încetarea calității de participant, din care: persoane cu vârsta peste 40 de ani </w:t>
            </w:r>
          </w:p>
        </w:tc>
        <w:tc>
          <w:tcPr>
            <w:tcW w:w="6911" w:type="dxa"/>
            <w:shd w:val="clear" w:color="auto" w:fill="auto"/>
          </w:tcPr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Acest indicator reprezintă numărul de persoane care urmează studii/cursuri de formare la încetarea calității de participant, a fost sprijinit direct în cadrul Obiectivului Specific 6.12 şi care, la data intrării în operațiunile FSE au îndeplinit următoare criterii: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- erau rezidenți ai uneia din regiunile de dezvoltare eligibile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erau angajați, inclusiv persoane fizice autorizate şi întreprinderi individuale </w:t>
            </w:r>
          </w:p>
          <w:p w:rsidR="00FA5D99" w:rsidRPr="00FD07D2" w:rsidRDefault="00C86517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>
              <w:rPr>
                <w:color w:val="215868" w:themeColor="accent5" w:themeShade="80"/>
                <w:sz w:val="24"/>
                <w:szCs w:val="24"/>
              </w:rPr>
              <w:t>- împliniseră 25</w:t>
            </w:r>
            <w:r w:rsidR="00FA5D99" w:rsidRPr="00FD07D2">
              <w:rPr>
                <w:color w:val="215868" w:themeColor="accent5" w:themeShade="80"/>
                <w:sz w:val="24"/>
                <w:szCs w:val="24"/>
              </w:rPr>
              <w:t xml:space="preserve"> ani 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 xml:space="preserve">- aveau sub 65 de ani </w:t>
            </w:r>
          </w:p>
          <w:p w:rsidR="000B2ABF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(Vârsta participantului este calculată de la data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naşterii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este determinată la data intrării în operațiunile FSE)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b/>
                <w:color w:val="7030A0"/>
                <w:sz w:val="24"/>
                <w:szCs w:val="24"/>
              </w:rPr>
            </w:pPr>
            <w:r w:rsidRPr="00FD07D2">
              <w:rPr>
                <w:b/>
                <w:color w:val="7030A0"/>
                <w:sz w:val="24"/>
                <w:szCs w:val="24"/>
              </w:rPr>
              <w:t>EXPLICAȚIILE TERMENILOR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”Persoanele angajate” sunt persoanele care au împlinit cel puțin 16 ani, care au prestat muncă pentru salariu, profit sau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câştig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familial sau care nu au prestat muncă dar au avut un loc de muncă sau o afacere din care au lipsit temporar din cauza, de exemplu, unei boli, concediului, disputelor industriale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formării. 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O persoană se consideră că are un loc de muncă dacă aceasta a prestat muncă pentru salariu sau profit în săptămâna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referinţă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. 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Adaptat după Orientările Comisiei Europene pentru Monitorizarea și Evaluarea Fondului Social European, Anexa C1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„Persoană fizică autorizată” reprezintă persoana fizică autorizată să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desfăşoare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orice formă de activitate economică permisă de lege, folosind în principal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forţa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sa de muncă.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„Întreprinderi individuale” este o întreprinderea economică, fără personalitate juridică, organizată de un întreprinzător persoană fizică.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</w:t>
            </w: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lastRenderedPageBreak/>
              <w:t xml:space="preserve">întreprinderile individuale şi întreprinderile familiale, cu modificările și completările ulterioare 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”Urmează studii/cursuri de formare” sunt persoanele care participă la programe de educație/FP.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„Program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“ este un program scris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instituţia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sau ministerul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care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programul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pentru fiecare materie în toate etapele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formală. Mai exact,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pentru fiecare arie de dezvoltare, disciplină, domeniul de studiu / modulul de pregătire din planul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învăţământ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finalităţile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urmărite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evidenţiază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conţinuturile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fundamentale de ordin teoretic, experimental şi aplicativ, oferind orientări metodologice generale pentru realizarea şi evaluarea acestora.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Legea educației naționale 1/2011, cu modificările și completările ulterioare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”Educaţia şi formarea profesională” reprezintă ansamblul coerent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continuu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activităţi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experienţe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prin care trece subiectul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pe întreaga durată a traseului său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-formativ.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Legea educației naționale 1/2011, cu modificările și completările ulterioare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”Formarea profesională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 cuprinde formarea profesională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iniţială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formarea profesională continuă organizate prin alte forme decât cele specifice sistemului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învăţământ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. Formarea profesională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iniţială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asigură pregătirea necesară pentru dobândirea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profesionale minime necesare pentru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obţinerea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unui loc de muncă. Formarea profesională continuă este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 xml:space="preserve">ulterioară formării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iniţiale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asigură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fie dezvoltarea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profesionale deja dobândite, fie dobândirea de noi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129/2000 privind formarea profesională a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, cu modificările și completările ulterioare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"La încetarea calității de participant" se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înţelege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până la patru săptămâni de la data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ieşirii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din intervenție a participantului.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Orientările Comisiei Europene pentru Monitorizarea și Evaluarea Fondului Social European, Anexa C1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„Data intrării în operațiunile FSE” reprezintă „data la care persoana a beneficiat prima dată de sprijinul oferit prin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operaţiune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”. 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Anexa D – Orientare practică privind colectarea şi validarea datelor din orientările Comisiei Europene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Regulament (UE) Nr. 1303/2013 al Parlamentului European și al Consiliului din 17 decembrie 2013 de stabilire a unor dispoziții comune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b/>
                <w:color w:val="7030A0"/>
                <w:sz w:val="24"/>
                <w:szCs w:val="24"/>
              </w:rPr>
            </w:pPr>
            <w:r w:rsidRPr="00FD07D2">
              <w:rPr>
                <w:b/>
                <w:color w:val="7030A0"/>
                <w:sz w:val="24"/>
                <w:szCs w:val="24"/>
              </w:rPr>
              <w:t>DATELE VOR FI COLECTATE, MONITORIZATE ŞI RAPORTATE PENTRU URMĂTOARELE CATEGORII:</w:t>
            </w:r>
          </w:p>
          <w:p w:rsidR="00FA5D99" w:rsidRPr="00FD07D2" w:rsidRDefault="00FA5D99" w:rsidP="00FA5D99">
            <w:pPr>
              <w:pStyle w:val="Listparagraf"/>
              <w:ind w:left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FA5D99" w:rsidRPr="00FD07D2" w:rsidRDefault="00FA5D99" w:rsidP="00FA5D99">
            <w:pPr>
              <w:pStyle w:val="Listparagraf"/>
              <w:numPr>
                <w:ilvl w:val="0"/>
                <w:numId w:val="15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cu nivel scăzut de calificare: persoane cu un nivel de calificare până la nivelul 3 (Sursa: Agreată cu părțile interesate). Calificarea este rezultatul formal al unui proces de evaluare şi validare, care este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atunci când un organism competent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că o persoană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ca urmare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rezultate la anumite standarde prestabilite, conform Legii educației naționale 1/2011, cu modificările și completările ulterioare. Nivelurile de calificare sunt conform Hotărârii nr. 918/2013 privind aprobarea Cadrului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al calificărilor. </w:t>
            </w:r>
          </w:p>
          <w:p w:rsidR="00FA5D99" w:rsidRPr="00FD07D2" w:rsidRDefault="00FA5D99" w:rsidP="00FA5D99">
            <w:pPr>
              <w:pStyle w:val="Listparagraf"/>
              <w:numPr>
                <w:ilvl w:val="0"/>
                <w:numId w:val="15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din zonele rurale: care locuiesc în zonele rurale (sat / comună) conform Legii 351/2001 privind aprobarea Planului de amenajare a teritoriului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-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Secţiunea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IV,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Reţeaua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localităţi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, Anexa I.</w:t>
            </w:r>
          </w:p>
          <w:p w:rsidR="00FA5D99" w:rsidRPr="00FD07D2" w:rsidRDefault="00FA5D99" w:rsidP="00FA5D99">
            <w:pPr>
              <w:pStyle w:val="Listparagraf"/>
              <w:numPr>
                <w:ilvl w:val="0"/>
                <w:numId w:val="15"/>
              </w:numPr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Persoane cu vârsta peste 40 de ani şi sub 65 de ani</w:t>
            </w:r>
          </w:p>
        </w:tc>
      </w:tr>
      <w:tr w:rsidR="00714F9B" w:rsidRPr="00FD07D2" w:rsidTr="00412B20">
        <w:tc>
          <w:tcPr>
            <w:tcW w:w="797" w:type="dxa"/>
            <w:shd w:val="clear" w:color="auto" w:fill="auto"/>
          </w:tcPr>
          <w:p w:rsidR="00714F9B" w:rsidRPr="00FD07D2" w:rsidRDefault="00F519E1" w:rsidP="00FC5554">
            <w:pPr>
              <w:jc w:val="both"/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lastRenderedPageBreak/>
              <w:t>4S114</w:t>
            </w:r>
          </w:p>
        </w:tc>
        <w:tc>
          <w:tcPr>
            <w:tcW w:w="1108" w:type="dxa"/>
            <w:shd w:val="clear" w:color="auto" w:fill="auto"/>
          </w:tcPr>
          <w:p w:rsidR="00714F9B" w:rsidRPr="00FD07D2" w:rsidRDefault="00714F9B" w:rsidP="00FC5554">
            <w:pPr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Realizare</w:t>
            </w:r>
          </w:p>
        </w:tc>
        <w:tc>
          <w:tcPr>
            <w:tcW w:w="5178" w:type="dxa"/>
            <w:shd w:val="clear" w:color="auto" w:fill="auto"/>
          </w:tcPr>
          <w:p w:rsidR="00C97C05" w:rsidRPr="00FD07D2" w:rsidRDefault="00E73BA6" w:rsidP="00E73BA6">
            <w:pPr>
              <w:tabs>
                <w:tab w:val="left" w:pos="3960"/>
              </w:tabs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b/>
                <w:color w:val="215868" w:themeColor="accent5" w:themeShade="80"/>
                <w:sz w:val="24"/>
                <w:szCs w:val="24"/>
              </w:rPr>
              <w:t xml:space="preserve">4S114 </w:t>
            </w: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>Angajați care beneficiază de sprijin pentru participarea la FPC (formare/ validare de competențe)</w:t>
            </w:r>
          </w:p>
          <w:p w:rsidR="00E73BA6" w:rsidRPr="00FD07D2" w:rsidRDefault="00E73BA6" w:rsidP="00E73BA6">
            <w:pPr>
              <w:tabs>
                <w:tab w:val="left" w:pos="3960"/>
              </w:tabs>
              <w:jc w:val="both"/>
              <w:rPr>
                <w:rFonts w:cs="Times New Roman"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rFonts w:cs="Times New Roman"/>
                <w:color w:val="215868" w:themeColor="accent5" w:themeShade="80"/>
                <w:sz w:val="24"/>
                <w:szCs w:val="24"/>
              </w:rPr>
              <w:t xml:space="preserve"> </w:t>
            </w:r>
          </w:p>
          <w:p w:rsidR="00E73BA6" w:rsidRPr="00FD07D2" w:rsidRDefault="00E73BA6" w:rsidP="00E73BA6">
            <w:pPr>
              <w:pStyle w:val="Listparagraf"/>
              <w:numPr>
                <w:ilvl w:val="0"/>
                <w:numId w:val="1"/>
              </w:numPr>
              <w:tabs>
                <w:tab w:val="left" w:pos="3960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4S114.1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Angajați care beneficiază de sprijin pentru participarea la FPC (formare/ validare de competențe), din care: persoane cu nivel scăzut de calificare</w:t>
            </w:r>
          </w:p>
          <w:p w:rsidR="00E73BA6" w:rsidRPr="00FD07D2" w:rsidRDefault="00E73BA6" w:rsidP="00E73BA6">
            <w:pPr>
              <w:pStyle w:val="Listparagraf"/>
              <w:numPr>
                <w:ilvl w:val="0"/>
                <w:numId w:val="1"/>
              </w:numPr>
              <w:tabs>
                <w:tab w:val="left" w:pos="3960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4S114.2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>Angajați care beneficiază de sprijin pentru participarea la FPC (formare/ validare de competențe), din care: persoane din mediul rural</w:t>
            </w:r>
          </w:p>
          <w:p w:rsidR="00714F9B" w:rsidRPr="00FD07D2" w:rsidRDefault="00E73BA6" w:rsidP="00E73BA6">
            <w:pPr>
              <w:pStyle w:val="Listparagraf"/>
              <w:numPr>
                <w:ilvl w:val="0"/>
                <w:numId w:val="1"/>
              </w:numPr>
              <w:tabs>
                <w:tab w:val="left" w:pos="3960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b/>
                <w:color w:val="215868" w:themeColor="accent5" w:themeShade="80"/>
                <w:sz w:val="24"/>
                <w:szCs w:val="24"/>
              </w:rPr>
              <w:t xml:space="preserve">4S114.3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Angajați care beneficiază de sprijin pentru participarea la FPC (formare/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validare de competențe), din care: persoane cu vârsta peste 40 de ani</w:t>
            </w:r>
          </w:p>
        </w:tc>
        <w:tc>
          <w:tcPr>
            <w:tcW w:w="6911" w:type="dxa"/>
            <w:shd w:val="clear" w:color="auto" w:fill="auto"/>
          </w:tcPr>
          <w:p w:rsidR="00E73BA6" w:rsidRPr="00FD07D2" w:rsidRDefault="00E73BA6" w:rsidP="00E73BA6">
            <w:pPr>
              <w:pStyle w:val="Listparagraf"/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>Acest indicator reprezintă numărul de angajați, inclusiv persoane fizice autorizate şi întreprinderi individuale care beneficiază de sprijin direct pentru participarea la FPC (formare/ validare de competențe) în cadrul Obiectivului Specific 6.12 şi care, la data intrării în operațiunile FSE îndeplinesc cum</w:t>
            </w:r>
            <w:bookmarkStart w:id="0" w:name="_GoBack"/>
            <w:bookmarkEnd w:id="0"/>
            <w:r w:rsidRPr="00FD07D2">
              <w:rPr>
                <w:color w:val="215868" w:themeColor="accent5" w:themeShade="80"/>
                <w:sz w:val="24"/>
                <w:szCs w:val="24"/>
              </w:rPr>
              <w:t>ulativ următoarele criterii:</w:t>
            </w:r>
          </w:p>
          <w:p w:rsidR="00E73BA6" w:rsidRPr="00FD07D2" w:rsidRDefault="00E73BA6" w:rsidP="00E73BA6">
            <w:pPr>
              <w:pStyle w:val="Listparagraf"/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- sunt rezidenți ai uneia din regiunile de dezvoltare eligibile.</w:t>
            </w:r>
          </w:p>
          <w:p w:rsidR="00E73BA6" w:rsidRPr="00FD07D2" w:rsidRDefault="00E73BA6" w:rsidP="00E73BA6">
            <w:pPr>
              <w:pStyle w:val="Listparagraf"/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- au împlinit 2</w:t>
            </w:r>
            <w:r w:rsidR="00C86517">
              <w:rPr>
                <w:color w:val="215868" w:themeColor="accent5" w:themeShade="80"/>
                <w:sz w:val="24"/>
                <w:szCs w:val="24"/>
              </w:rPr>
              <w:t>5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ani </w:t>
            </w:r>
          </w:p>
          <w:p w:rsidR="00E73BA6" w:rsidRPr="00FD07D2" w:rsidRDefault="00E73BA6" w:rsidP="00E73BA6">
            <w:pPr>
              <w:pStyle w:val="Listparagraf"/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- au sub 65 de ani </w:t>
            </w:r>
          </w:p>
          <w:p w:rsidR="00133EA3" w:rsidRPr="00FD07D2" w:rsidRDefault="00E73BA6" w:rsidP="00E73BA6">
            <w:pPr>
              <w:pStyle w:val="Listparagraf"/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(Vârsta participantului este calculată de la data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naşterii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este determinată la data intrării în operațiunile FSE)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FD07D2">
            <w:pPr>
              <w:tabs>
                <w:tab w:val="left" w:pos="1174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”Persoanele angajate” sunt persoanele care au împlinit cel puțin 16 ani, care au prestat muncă pentru salariu, profit sau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câştig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familial </w:t>
            </w: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 xml:space="preserve">sau care nu au prestat muncă dar au avut un loc de muncă sau o afacere din care au lipsit temporar din cauza, de exemplu, unei boli, concediului, disputelor industriale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educaţiei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formării. 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O persoană se consideră că are un loc de muncă dacă aceasta a prestat muncă pentru salariu sau profit în săptămâna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referinţă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. 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Adaptat după Orientările Comisiei Europene pentru Monitorizarea și Evaluarea Fondului Social European, Anexa C1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„Persoană fizică autorizată” reprezintă persoana fizică autorizată să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desfăşoare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orice formă de activitate economică permisă de lege, folosind în principal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forţa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sa de muncă.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6D02DE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„Întreprinderea individuală” este o întreprinderea economică, fără personalitate juridică, organizată de un </w:t>
            </w:r>
            <w:r w:rsidR="006D02DE" w:rsidRPr="00FD07D2">
              <w:rPr>
                <w:color w:val="215868" w:themeColor="accent5" w:themeShade="80"/>
                <w:sz w:val="24"/>
                <w:szCs w:val="24"/>
              </w:rPr>
              <w:t>întreprinzător persoană fizică.</w:t>
            </w:r>
          </w:p>
          <w:p w:rsidR="00E73BA6" w:rsidRPr="00FD07D2" w:rsidRDefault="00E73BA6" w:rsidP="006D02DE">
            <w:pPr>
              <w:pStyle w:val="Listparagraf"/>
              <w:tabs>
                <w:tab w:val="left" w:pos="1174"/>
              </w:tabs>
              <w:ind w:left="0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urgenţă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44/2008 privind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desfăşurarea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activităţilor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economice de către persoanele fizice autorizate, întreprinderile individuale şi întreprinderile familiale, cu modificările și completările ulterioare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”Formarea profesională continuă” este ulterioară formării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iniţiale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asigură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fie dezvoltarea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profesionale deja dobândite, fie dobândirea de noi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.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129/2000 privind formarea profesională a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, cu modificările și completările ulterioare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lastRenderedPageBreak/>
              <w:t xml:space="preserve"> „Validarea” rezultatelor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reprezintă procesul prin care se confirmă că rezultatele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dobândite de o persoană, evaluate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şi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certificate, corespund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cerinţelor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specifice pentru o unitate sau o calificare.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Legea educației naționale 1/2011, cu modificările și completările ulterioare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„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Competenţa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profesională” reprezintă capacitatea de a realiza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activităţile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cerute la locul de muncă la nivelul calitativ specificat în standardul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ocupaţional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.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Sursa: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Ordonanţa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 xml:space="preserve"> nr. 129/2000 privind formarea profesională a </w:t>
            </w:r>
            <w:proofErr w:type="spellStart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adulţilor</w:t>
            </w:r>
            <w:proofErr w:type="spellEnd"/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, cu modificările și completările ulterioare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„Data intrării în operațiunile FSE” reprezintă „data la care persoana a beneficiat prima dată de sprijinul oferit prin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operaţiune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”. 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Anexa D – Orientare practică privind colectarea şi validarea datelor din orientările Comisiei Europene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”Operațiune”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financiare.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i/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i/>
                <w:color w:val="215868" w:themeColor="accent5" w:themeShade="80"/>
                <w:sz w:val="24"/>
                <w:szCs w:val="24"/>
              </w:rPr>
              <w:t>Sursa: Regulament (UE) Nr. 1303/2013 al Parlamentului European și al Consiliului din 17 decembrie 2013 de stabilire a unor dispoziții comune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b/>
                <w:color w:val="7030A0"/>
                <w:sz w:val="24"/>
                <w:szCs w:val="24"/>
              </w:rPr>
            </w:pPr>
            <w:r w:rsidRPr="00FD07D2">
              <w:rPr>
                <w:b/>
                <w:color w:val="7030A0"/>
                <w:sz w:val="24"/>
                <w:szCs w:val="24"/>
              </w:rPr>
              <w:lastRenderedPageBreak/>
              <w:t>DATELE VOR FI COLECTATE, MONITORIZATE ŞI RAPORTATE PENTRU URMĂTOARELE CATEGORII:</w:t>
            </w:r>
          </w:p>
          <w:p w:rsidR="00E73BA6" w:rsidRPr="00FD07D2" w:rsidRDefault="00E73BA6" w:rsidP="00E73BA6">
            <w:pPr>
              <w:pStyle w:val="Listparagraf"/>
              <w:tabs>
                <w:tab w:val="left" w:pos="1174"/>
              </w:tabs>
              <w:ind w:left="0" w:firstLine="34"/>
              <w:jc w:val="both"/>
              <w:rPr>
                <w:color w:val="215868" w:themeColor="accent5" w:themeShade="80"/>
                <w:sz w:val="24"/>
                <w:szCs w:val="24"/>
              </w:rPr>
            </w:pPr>
          </w:p>
          <w:p w:rsidR="00495877" w:rsidRPr="00FD07D2" w:rsidRDefault="00E73BA6" w:rsidP="00495877">
            <w:pPr>
              <w:pStyle w:val="Listparagraf"/>
              <w:numPr>
                <w:ilvl w:val="0"/>
                <w:numId w:val="10"/>
              </w:numPr>
              <w:tabs>
                <w:tab w:val="left" w:pos="1174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cu nivel scăzut de calificare: persoane cu un nivel de calificare până la nivelul 3 (Sursa: Agreată cu părțile interesate). Calificarea este rezultatul formal al unui proces de evaluare şi validare, care este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atunci când un organism competent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stabileşte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că o persoană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obţinut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ca urmare a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învăţării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, rezultate la anumite standarde prestabilite, conform Legii educației naționale 1/2011, cu modificările și completările ulterioare. Nivelurile de calificare sunt conform Hotărârii nr. 918/2013 privind aprobarea Cadrului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al calificărilor. </w:t>
            </w:r>
          </w:p>
          <w:p w:rsidR="00495877" w:rsidRPr="00FD07D2" w:rsidRDefault="00E73BA6" w:rsidP="00495877">
            <w:pPr>
              <w:pStyle w:val="Listparagraf"/>
              <w:numPr>
                <w:ilvl w:val="0"/>
                <w:numId w:val="10"/>
              </w:numPr>
              <w:tabs>
                <w:tab w:val="left" w:pos="1174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Persoane din zonele rurale: care locuiesc în zonele rurale (sat / comună) conform Legii 351/2001 privind aprobarea Planului de amenajare a teritoriului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naţional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-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Secţiunea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IV,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Reţeaua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 xml:space="preserve"> de </w:t>
            </w:r>
            <w:proofErr w:type="spellStart"/>
            <w:r w:rsidRPr="00FD07D2">
              <w:rPr>
                <w:color w:val="215868" w:themeColor="accent5" w:themeShade="80"/>
                <w:sz w:val="24"/>
                <w:szCs w:val="24"/>
              </w:rPr>
              <w:t>localităţi</w:t>
            </w:r>
            <w:proofErr w:type="spellEnd"/>
            <w:r w:rsidRPr="00FD07D2">
              <w:rPr>
                <w:color w:val="215868" w:themeColor="accent5" w:themeShade="80"/>
                <w:sz w:val="24"/>
                <w:szCs w:val="24"/>
              </w:rPr>
              <w:t>, Anexa I.</w:t>
            </w:r>
          </w:p>
          <w:p w:rsidR="00E73BA6" w:rsidRPr="00FD07D2" w:rsidRDefault="00E73BA6" w:rsidP="00495877">
            <w:pPr>
              <w:pStyle w:val="Listparagraf"/>
              <w:numPr>
                <w:ilvl w:val="0"/>
                <w:numId w:val="10"/>
              </w:numPr>
              <w:tabs>
                <w:tab w:val="left" w:pos="1174"/>
              </w:tabs>
              <w:jc w:val="both"/>
              <w:rPr>
                <w:color w:val="215868" w:themeColor="accent5" w:themeShade="80"/>
                <w:sz w:val="24"/>
                <w:szCs w:val="24"/>
              </w:rPr>
            </w:pPr>
            <w:r w:rsidRPr="00FD07D2">
              <w:rPr>
                <w:color w:val="215868" w:themeColor="accent5" w:themeShade="80"/>
                <w:sz w:val="24"/>
                <w:szCs w:val="24"/>
              </w:rPr>
              <w:t>Persoane cu vârsta peste 40 de ani şi sub 65 de ani</w:t>
            </w:r>
          </w:p>
        </w:tc>
      </w:tr>
    </w:tbl>
    <w:p w:rsidR="00230DB2" w:rsidRPr="00FD07D2" w:rsidRDefault="00230DB2" w:rsidP="00FC5554">
      <w:pPr>
        <w:spacing w:after="0" w:line="240" w:lineRule="auto"/>
        <w:jc w:val="both"/>
        <w:rPr>
          <w:rFonts w:cs="Times New Roman"/>
          <w:color w:val="215868" w:themeColor="accent5" w:themeShade="80"/>
          <w:sz w:val="24"/>
          <w:szCs w:val="24"/>
        </w:rPr>
      </w:pPr>
    </w:p>
    <w:p w:rsidR="00046A51" w:rsidRPr="00FD07D2" w:rsidRDefault="00046A51" w:rsidP="00FC5554">
      <w:pPr>
        <w:tabs>
          <w:tab w:val="left" w:pos="7950"/>
        </w:tabs>
        <w:spacing w:after="0" w:line="240" w:lineRule="auto"/>
        <w:rPr>
          <w:rFonts w:cs="Times New Roman"/>
          <w:color w:val="215868" w:themeColor="accent5" w:themeShade="80"/>
          <w:sz w:val="24"/>
          <w:szCs w:val="24"/>
        </w:rPr>
      </w:pPr>
    </w:p>
    <w:sectPr w:rsidR="00046A51" w:rsidRPr="00FD07D2" w:rsidSect="00412B2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D3E" w:rsidRDefault="00361D3E" w:rsidP="00321234">
      <w:pPr>
        <w:spacing w:after="0" w:line="240" w:lineRule="auto"/>
      </w:pPr>
      <w:r>
        <w:separator/>
      </w:r>
    </w:p>
  </w:endnote>
  <w:endnote w:type="continuationSeparator" w:id="0">
    <w:p w:rsidR="00361D3E" w:rsidRDefault="00361D3E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  <w:sz w:val="16"/>
        <w:szCs w:val="16"/>
      </w:rPr>
    </w:sdtEndPr>
    <w:sdtContent>
      <w:p w:rsidR="00F860C5" w:rsidRPr="00FC5554" w:rsidRDefault="00F860C5">
        <w:pPr>
          <w:pStyle w:val="Subsol"/>
          <w:jc w:val="right"/>
          <w:rPr>
            <w:b/>
            <w:sz w:val="16"/>
            <w:szCs w:val="16"/>
          </w:rPr>
        </w:pPr>
        <w:r w:rsidRPr="00FC5554">
          <w:rPr>
            <w:b/>
            <w:sz w:val="16"/>
            <w:szCs w:val="16"/>
          </w:rPr>
          <w:fldChar w:fldCharType="begin"/>
        </w:r>
        <w:r w:rsidRPr="00FC5554">
          <w:rPr>
            <w:b/>
            <w:sz w:val="16"/>
            <w:szCs w:val="16"/>
          </w:rPr>
          <w:instrText>PAGE   \* MERGEFORMAT</w:instrText>
        </w:r>
        <w:r w:rsidRPr="00FC5554">
          <w:rPr>
            <w:b/>
            <w:sz w:val="16"/>
            <w:szCs w:val="16"/>
          </w:rPr>
          <w:fldChar w:fldCharType="separate"/>
        </w:r>
        <w:r w:rsidR="00C86517">
          <w:rPr>
            <w:b/>
            <w:noProof/>
            <w:sz w:val="16"/>
            <w:szCs w:val="16"/>
          </w:rPr>
          <w:t>13</w:t>
        </w:r>
        <w:r w:rsidRPr="00FC5554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D3E" w:rsidRDefault="00361D3E" w:rsidP="00321234">
      <w:pPr>
        <w:spacing w:after="0" w:line="240" w:lineRule="auto"/>
      </w:pPr>
      <w:r>
        <w:separator/>
      </w:r>
    </w:p>
  </w:footnote>
  <w:footnote w:type="continuationSeparator" w:id="0">
    <w:p w:rsidR="00361D3E" w:rsidRDefault="00361D3E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11.3pt;height:11.3pt" o:bullet="t">
        <v:imagedata r:id="rId1" o:title="mso1D71"/>
      </v:shape>
    </w:pict>
  </w:numPicBullet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1BD4F83"/>
    <w:multiLevelType w:val="hybridMultilevel"/>
    <w:tmpl w:val="4314C9E0"/>
    <w:lvl w:ilvl="0" w:tplc="5824C490">
      <w:numFmt w:val="bullet"/>
      <w:lvlText w:val="-"/>
      <w:lvlJc w:val="left"/>
      <w:pPr>
        <w:ind w:left="394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72661A7"/>
    <w:multiLevelType w:val="hybridMultilevel"/>
    <w:tmpl w:val="190A11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4C7"/>
    <w:multiLevelType w:val="hybridMultilevel"/>
    <w:tmpl w:val="50A0A122"/>
    <w:lvl w:ilvl="0" w:tplc="04090007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0FFD09D1"/>
    <w:multiLevelType w:val="hybridMultilevel"/>
    <w:tmpl w:val="61347A50"/>
    <w:lvl w:ilvl="0" w:tplc="5C64D12E">
      <w:numFmt w:val="bullet"/>
      <w:lvlText w:val="-"/>
      <w:lvlJc w:val="left"/>
      <w:pPr>
        <w:ind w:left="394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19ED595D"/>
    <w:multiLevelType w:val="hybridMultilevel"/>
    <w:tmpl w:val="2818969A"/>
    <w:lvl w:ilvl="0" w:tplc="04090007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30C66285"/>
    <w:multiLevelType w:val="hybridMultilevel"/>
    <w:tmpl w:val="BB2041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93236"/>
    <w:multiLevelType w:val="hybridMultilevel"/>
    <w:tmpl w:val="0D8E6AA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B2D50"/>
    <w:multiLevelType w:val="hybridMultilevel"/>
    <w:tmpl w:val="26DE77B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762BE"/>
    <w:multiLevelType w:val="hybridMultilevel"/>
    <w:tmpl w:val="B6660272"/>
    <w:lvl w:ilvl="0" w:tplc="04090007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46A60F98"/>
    <w:multiLevelType w:val="hybridMultilevel"/>
    <w:tmpl w:val="D1A64D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963F2"/>
    <w:multiLevelType w:val="hybridMultilevel"/>
    <w:tmpl w:val="31B8F006"/>
    <w:lvl w:ilvl="0" w:tplc="04090007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69216258"/>
    <w:multiLevelType w:val="hybridMultilevel"/>
    <w:tmpl w:val="495CBB6A"/>
    <w:lvl w:ilvl="0" w:tplc="04090007">
      <w:start w:val="1"/>
      <w:numFmt w:val="bullet"/>
      <w:lvlText w:val=""/>
      <w:lvlPicBulletId w:val="0"/>
      <w:lvlJc w:val="left"/>
      <w:pPr>
        <w:ind w:left="11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13" w15:restartNumberingAfterBreak="0">
    <w:nsid w:val="719533EB"/>
    <w:multiLevelType w:val="hybridMultilevel"/>
    <w:tmpl w:val="152A42E6"/>
    <w:lvl w:ilvl="0" w:tplc="04090007">
      <w:start w:val="1"/>
      <w:numFmt w:val="bullet"/>
      <w:lvlText w:val=""/>
      <w:lvlPicBulletId w:val="0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4" w15:restartNumberingAfterBreak="0">
    <w:nsid w:val="73154D6B"/>
    <w:multiLevelType w:val="hybridMultilevel"/>
    <w:tmpl w:val="AF585AEC"/>
    <w:lvl w:ilvl="0" w:tplc="04090007">
      <w:start w:val="1"/>
      <w:numFmt w:val="bullet"/>
      <w:lvlText w:val=""/>
      <w:lvlPicBulletId w:val="0"/>
      <w:lvlJc w:val="left"/>
      <w:pPr>
        <w:ind w:left="11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15" w15:restartNumberingAfterBreak="0">
    <w:nsid w:val="7AC11F70"/>
    <w:multiLevelType w:val="hybridMultilevel"/>
    <w:tmpl w:val="808035E2"/>
    <w:lvl w:ilvl="0" w:tplc="04090007">
      <w:start w:val="1"/>
      <w:numFmt w:val="bullet"/>
      <w:lvlText w:val=""/>
      <w:lvlPicBulletId w:val="0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5"/>
  </w:num>
  <w:num w:numId="5">
    <w:abstractNumId w:val="13"/>
  </w:num>
  <w:num w:numId="6">
    <w:abstractNumId w:val="12"/>
  </w:num>
  <w:num w:numId="7">
    <w:abstractNumId w:val="14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1"/>
  </w:num>
  <w:num w:numId="13">
    <w:abstractNumId w:val="3"/>
  </w:num>
  <w:num w:numId="14">
    <w:abstractNumId w:val="4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241B2"/>
    <w:rsid w:val="00037FA4"/>
    <w:rsid w:val="00042603"/>
    <w:rsid w:val="00046A51"/>
    <w:rsid w:val="000504AC"/>
    <w:rsid w:val="0005210D"/>
    <w:rsid w:val="00057836"/>
    <w:rsid w:val="00060F74"/>
    <w:rsid w:val="00076143"/>
    <w:rsid w:val="000A046E"/>
    <w:rsid w:val="000B2ABF"/>
    <w:rsid w:val="000C43A9"/>
    <w:rsid w:val="000D2CA5"/>
    <w:rsid w:val="000F079B"/>
    <w:rsid w:val="000F21C8"/>
    <w:rsid w:val="001005BA"/>
    <w:rsid w:val="001115B4"/>
    <w:rsid w:val="0011343A"/>
    <w:rsid w:val="00126277"/>
    <w:rsid w:val="00131225"/>
    <w:rsid w:val="00133EA3"/>
    <w:rsid w:val="00134D20"/>
    <w:rsid w:val="00157B25"/>
    <w:rsid w:val="00160079"/>
    <w:rsid w:val="00163423"/>
    <w:rsid w:val="00170087"/>
    <w:rsid w:val="001821B4"/>
    <w:rsid w:val="001858BE"/>
    <w:rsid w:val="001972AC"/>
    <w:rsid w:val="001A3B84"/>
    <w:rsid w:val="001B088E"/>
    <w:rsid w:val="001B6D11"/>
    <w:rsid w:val="00201563"/>
    <w:rsid w:val="00201824"/>
    <w:rsid w:val="00230DB2"/>
    <w:rsid w:val="0023134A"/>
    <w:rsid w:val="00236734"/>
    <w:rsid w:val="002532C9"/>
    <w:rsid w:val="002616A7"/>
    <w:rsid w:val="00297157"/>
    <w:rsid w:val="002A63C3"/>
    <w:rsid w:val="002C3357"/>
    <w:rsid w:val="002D26D6"/>
    <w:rsid w:val="002D3618"/>
    <w:rsid w:val="002E5906"/>
    <w:rsid w:val="002E7BDF"/>
    <w:rsid w:val="00321234"/>
    <w:rsid w:val="00330E58"/>
    <w:rsid w:val="003618E8"/>
    <w:rsid w:val="00361D3E"/>
    <w:rsid w:val="00362407"/>
    <w:rsid w:val="00374AA3"/>
    <w:rsid w:val="00377C1C"/>
    <w:rsid w:val="003A3832"/>
    <w:rsid w:val="003B3CE1"/>
    <w:rsid w:val="003B664B"/>
    <w:rsid w:val="003B7D5F"/>
    <w:rsid w:val="003D4CD8"/>
    <w:rsid w:val="003D6F7A"/>
    <w:rsid w:val="003F77F1"/>
    <w:rsid w:val="004072E3"/>
    <w:rsid w:val="00412B20"/>
    <w:rsid w:val="00414BA1"/>
    <w:rsid w:val="004371A5"/>
    <w:rsid w:val="00437A26"/>
    <w:rsid w:val="00455D07"/>
    <w:rsid w:val="00460CE5"/>
    <w:rsid w:val="00486ECB"/>
    <w:rsid w:val="00495877"/>
    <w:rsid w:val="0049752A"/>
    <w:rsid w:val="004A7389"/>
    <w:rsid w:val="004C511A"/>
    <w:rsid w:val="004D1A76"/>
    <w:rsid w:val="004D29AE"/>
    <w:rsid w:val="005070C6"/>
    <w:rsid w:val="005104B9"/>
    <w:rsid w:val="005167C9"/>
    <w:rsid w:val="005367FE"/>
    <w:rsid w:val="00536A30"/>
    <w:rsid w:val="00563534"/>
    <w:rsid w:val="0057480C"/>
    <w:rsid w:val="00581991"/>
    <w:rsid w:val="005A01EC"/>
    <w:rsid w:val="005C65C7"/>
    <w:rsid w:val="005D1224"/>
    <w:rsid w:val="005D1BB2"/>
    <w:rsid w:val="005E628B"/>
    <w:rsid w:val="005F2822"/>
    <w:rsid w:val="00620E85"/>
    <w:rsid w:val="0064620D"/>
    <w:rsid w:val="00695171"/>
    <w:rsid w:val="006A4BCC"/>
    <w:rsid w:val="006C699B"/>
    <w:rsid w:val="006C7854"/>
    <w:rsid w:val="006C7970"/>
    <w:rsid w:val="006D02DE"/>
    <w:rsid w:val="006D3494"/>
    <w:rsid w:val="006E05C7"/>
    <w:rsid w:val="00701288"/>
    <w:rsid w:val="00707A74"/>
    <w:rsid w:val="00714F9B"/>
    <w:rsid w:val="00746BEA"/>
    <w:rsid w:val="007712AD"/>
    <w:rsid w:val="00773142"/>
    <w:rsid w:val="00780260"/>
    <w:rsid w:val="007A6806"/>
    <w:rsid w:val="007B7495"/>
    <w:rsid w:val="007C04D0"/>
    <w:rsid w:val="008233FB"/>
    <w:rsid w:val="008252D4"/>
    <w:rsid w:val="008350C0"/>
    <w:rsid w:val="00854121"/>
    <w:rsid w:val="00854898"/>
    <w:rsid w:val="00860BF5"/>
    <w:rsid w:val="00862843"/>
    <w:rsid w:val="0087640C"/>
    <w:rsid w:val="00876A67"/>
    <w:rsid w:val="00892008"/>
    <w:rsid w:val="00894898"/>
    <w:rsid w:val="00897B48"/>
    <w:rsid w:val="008B312A"/>
    <w:rsid w:val="008B7E5B"/>
    <w:rsid w:val="008C274B"/>
    <w:rsid w:val="008C4C3D"/>
    <w:rsid w:val="008C6918"/>
    <w:rsid w:val="008D1CAB"/>
    <w:rsid w:val="008D759E"/>
    <w:rsid w:val="008E20F2"/>
    <w:rsid w:val="008E46F1"/>
    <w:rsid w:val="008F1A39"/>
    <w:rsid w:val="008F27F9"/>
    <w:rsid w:val="008F4AD9"/>
    <w:rsid w:val="009208F8"/>
    <w:rsid w:val="00921CF4"/>
    <w:rsid w:val="00923077"/>
    <w:rsid w:val="00925473"/>
    <w:rsid w:val="00960CEE"/>
    <w:rsid w:val="009940BE"/>
    <w:rsid w:val="009A204F"/>
    <w:rsid w:val="009A2571"/>
    <w:rsid w:val="009A6243"/>
    <w:rsid w:val="00A02414"/>
    <w:rsid w:val="00A21359"/>
    <w:rsid w:val="00A26E07"/>
    <w:rsid w:val="00A311DD"/>
    <w:rsid w:val="00A31973"/>
    <w:rsid w:val="00A4365C"/>
    <w:rsid w:val="00A54295"/>
    <w:rsid w:val="00A820DB"/>
    <w:rsid w:val="00AA1824"/>
    <w:rsid w:val="00AA19E4"/>
    <w:rsid w:val="00AC3A2C"/>
    <w:rsid w:val="00AE3D62"/>
    <w:rsid w:val="00B170D3"/>
    <w:rsid w:val="00B2320F"/>
    <w:rsid w:val="00B251B4"/>
    <w:rsid w:val="00B71BF3"/>
    <w:rsid w:val="00B76A8B"/>
    <w:rsid w:val="00B77D0F"/>
    <w:rsid w:val="00B82F81"/>
    <w:rsid w:val="00B94DC6"/>
    <w:rsid w:val="00BA362B"/>
    <w:rsid w:val="00BA52E2"/>
    <w:rsid w:val="00BC48C0"/>
    <w:rsid w:val="00BC4D19"/>
    <w:rsid w:val="00BD02D7"/>
    <w:rsid w:val="00BE1256"/>
    <w:rsid w:val="00BE7363"/>
    <w:rsid w:val="00C0192C"/>
    <w:rsid w:val="00C053AF"/>
    <w:rsid w:val="00C10518"/>
    <w:rsid w:val="00C1055A"/>
    <w:rsid w:val="00C1492E"/>
    <w:rsid w:val="00C14AF9"/>
    <w:rsid w:val="00C255A0"/>
    <w:rsid w:val="00C30B3E"/>
    <w:rsid w:val="00C4722E"/>
    <w:rsid w:val="00C771FF"/>
    <w:rsid w:val="00C809C4"/>
    <w:rsid w:val="00C86517"/>
    <w:rsid w:val="00C97C05"/>
    <w:rsid w:val="00CA3CC4"/>
    <w:rsid w:val="00CB34A8"/>
    <w:rsid w:val="00CC4463"/>
    <w:rsid w:val="00CD07CC"/>
    <w:rsid w:val="00CD5DBD"/>
    <w:rsid w:val="00CD6BEA"/>
    <w:rsid w:val="00CE3C1A"/>
    <w:rsid w:val="00CE4E2D"/>
    <w:rsid w:val="00CE6F37"/>
    <w:rsid w:val="00D3150D"/>
    <w:rsid w:val="00D60850"/>
    <w:rsid w:val="00D64836"/>
    <w:rsid w:val="00D71EDD"/>
    <w:rsid w:val="00DA4B4C"/>
    <w:rsid w:val="00DB6EEE"/>
    <w:rsid w:val="00DC1D80"/>
    <w:rsid w:val="00DE6B5C"/>
    <w:rsid w:val="00E02972"/>
    <w:rsid w:val="00E079E9"/>
    <w:rsid w:val="00E2107C"/>
    <w:rsid w:val="00E3368B"/>
    <w:rsid w:val="00E45EC3"/>
    <w:rsid w:val="00E460E7"/>
    <w:rsid w:val="00E6419E"/>
    <w:rsid w:val="00E733A7"/>
    <w:rsid w:val="00E73BA6"/>
    <w:rsid w:val="00E86C95"/>
    <w:rsid w:val="00E9491B"/>
    <w:rsid w:val="00EA28F9"/>
    <w:rsid w:val="00EE02B5"/>
    <w:rsid w:val="00EE1A64"/>
    <w:rsid w:val="00EE395F"/>
    <w:rsid w:val="00EF0F27"/>
    <w:rsid w:val="00EF7B48"/>
    <w:rsid w:val="00F40C2A"/>
    <w:rsid w:val="00F4151F"/>
    <w:rsid w:val="00F41BA5"/>
    <w:rsid w:val="00F41E95"/>
    <w:rsid w:val="00F51876"/>
    <w:rsid w:val="00F519E1"/>
    <w:rsid w:val="00F60382"/>
    <w:rsid w:val="00F64771"/>
    <w:rsid w:val="00F860C5"/>
    <w:rsid w:val="00F863C8"/>
    <w:rsid w:val="00F92FDC"/>
    <w:rsid w:val="00FA2FE6"/>
    <w:rsid w:val="00FA5D99"/>
    <w:rsid w:val="00FB7B4A"/>
    <w:rsid w:val="00FC21CE"/>
    <w:rsid w:val="00FC5554"/>
    <w:rsid w:val="00FD07D2"/>
    <w:rsid w:val="00FD443F"/>
    <w:rsid w:val="00FD67F4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AE53DF-56C3-4C83-AA7A-FEFAE906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8B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notdesubsol">
    <w:name w:val="footnote reference"/>
    <w:basedOn w:val="Fontdeparagrafimplicit"/>
    <w:uiPriority w:val="99"/>
    <w:semiHidden/>
    <w:unhideWhenUsed/>
    <w:rsid w:val="00B77D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1A8D-F5F1-4BEA-968C-2127D7EB9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13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daniel chitoi</cp:lastModifiedBy>
  <cp:revision>16</cp:revision>
  <dcterms:created xsi:type="dcterms:W3CDTF">2017-08-16T11:40:00Z</dcterms:created>
  <dcterms:modified xsi:type="dcterms:W3CDTF">2018-10-22T16:02:00Z</dcterms:modified>
</cp:coreProperties>
</file>